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12AD">
      <w:pPr>
        <w:ind w:left="11907"/>
        <w:rPr>
          <w:lang w:val="uk-UA"/>
        </w:rPr>
      </w:pPr>
    </w:p>
    <w:p w14:paraId="71591532">
      <w:pPr>
        <w:jc w:val="center"/>
        <w:rPr>
          <w:lang w:val="uk-UA"/>
        </w:rPr>
      </w:pPr>
      <w:r>
        <w:rPr>
          <w:lang w:val="uk-UA"/>
        </w:rPr>
        <w:t>РІЧНИЙ ПЛАН ЗАКУПІВЕЛЬ на 2024рік</w:t>
      </w:r>
    </w:p>
    <w:tbl>
      <w:tblPr>
        <w:tblStyle w:val="14"/>
        <w:tblpPr w:leftFromText="180" w:rightFromText="180" w:horzAnchor="margin" w:tblpY="29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2308"/>
        <w:gridCol w:w="2184"/>
        <w:gridCol w:w="2327"/>
        <w:gridCol w:w="2340"/>
        <w:gridCol w:w="2328"/>
      </w:tblGrid>
      <w:tr w14:paraId="1837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1" w:type="dxa"/>
            <w:gridSpan w:val="3"/>
          </w:tcPr>
          <w:p w14:paraId="7F726761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Найменування замовника</w:t>
            </w:r>
          </w:p>
        </w:tc>
        <w:tc>
          <w:tcPr>
            <w:tcW w:w="6995" w:type="dxa"/>
            <w:gridSpan w:val="3"/>
            <w:vMerge w:val="restart"/>
          </w:tcPr>
          <w:p w14:paraId="62F4E813">
            <w:pPr>
              <w:keepNext/>
              <w:tabs>
                <w:tab w:val="left" w:pos="360"/>
              </w:tabs>
              <w:outlineLvl w:val="1"/>
              <w:rPr>
                <w:b/>
                <w:bCs/>
                <w:sz w:val="18"/>
                <w:szCs w:val="18"/>
                <w:lang w:val="uk-UA" w:eastAsia="zh-CN"/>
              </w:rPr>
            </w:pPr>
            <w:r>
              <w:rPr>
                <w:b/>
                <w:bCs/>
                <w:sz w:val="18"/>
                <w:szCs w:val="18"/>
                <w:lang w:val="uk-UA" w:eastAsia="zh-CN"/>
              </w:rPr>
              <w:t>ДЕПАРТАМЕНТ ОХОРОНИ  ЗДОРОВ’Я</w:t>
            </w:r>
            <w:r>
              <w:rPr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k-UA" w:eastAsia="zh-CN"/>
              </w:rPr>
              <w:t>Хмельницької ОДА</w:t>
            </w:r>
          </w:p>
          <w:p w14:paraId="68781A36">
            <w:pPr>
              <w:keepNext/>
              <w:tabs>
                <w:tab w:val="left" w:pos="0"/>
                <w:tab w:val="left" w:pos="360"/>
              </w:tabs>
              <w:ind w:left="1296" w:hanging="1296"/>
              <w:outlineLvl w:val="6"/>
              <w:rPr>
                <w:b/>
                <w:bCs/>
                <w:sz w:val="18"/>
                <w:szCs w:val="18"/>
                <w:lang w:val="uk-UA" w:eastAsia="zh-CN"/>
              </w:rPr>
            </w:pPr>
            <w:r>
              <w:rPr>
                <w:b/>
                <w:bCs/>
                <w:sz w:val="18"/>
                <w:szCs w:val="18"/>
                <w:lang w:val="uk-UA" w:eastAsia="zh-CN"/>
              </w:rPr>
              <w:t>Код ЄДРПОУ 02013337</w:t>
            </w:r>
          </w:p>
          <w:p w14:paraId="62926660">
            <w:pPr>
              <w:keepNext/>
              <w:tabs>
                <w:tab w:val="left" w:pos="0"/>
                <w:tab w:val="left" w:pos="360"/>
              </w:tabs>
              <w:ind w:left="1296" w:hanging="1296"/>
              <w:outlineLvl w:val="6"/>
              <w:rPr>
                <w:b/>
                <w:bCs/>
                <w:sz w:val="18"/>
                <w:szCs w:val="18"/>
                <w:lang w:val="uk-UA" w:eastAsia="zh-CN"/>
              </w:rPr>
            </w:pPr>
            <w:r>
              <w:rPr>
                <w:b/>
                <w:bCs/>
                <w:sz w:val="18"/>
                <w:szCs w:val="18"/>
                <w:lang w:val="uk-UA" w:eastAsia="zh-CN"/>
              </w:rPr>
              <w:t>вул. Шевченка,  46, м. Хмельницький, 29000</w:t>
            </w:r>
          </w:p>
          <w:p w14:paraId="256E6C22">
            <w:pPr>
              <w:keepNext/>
              <w:tabs>
                <w:tab w:val="left" w:pos="0"/>
                <w:tab w:val="left" w:pos="360"/>
              </w:tabs>
              <w:outlineLvl w:val="6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Орган державної влади</w:t>
            </w:r>
          </w:p>
        </w:tc>
      </w:tr>
      <w:tr w14:paraId="7606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1" w:type="dxa"/>
            <w:gridSpan w:val="3"/>
          </w:tcPr>
          <w:p w14:paraId="16CBCCC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Ідентифікаційний код замовника в ЄДР</w:t>
            </w:r>
          </w:p>
        </w:tc>
        <w:tc>
          <w:tcPr>
            <w:tcW w:w="6995" w:type="dxa"/>
            <w:gridSpan w:val="3"/>
            <w:vMerge w:val="continue"/>
          </w:tcPr>
          <w:p w14:paraId="237C639C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14:paraId="64DA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1" w:type="dxa"/>
            <w:gridSpan w:val="3"/>
          </w:tcPr>
          <w:p w14:paraId="64E014B1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Місце знаходження замовника</w:t>
            </w:r>
          </w:p>
        </w:tc>
        <w:tc>
          <w:tcPr>
            <w:tcW w:w="6995" w:type="dxa"/>
            <w:gridSpan w:val="3"/>
            <w:vMerge w:val="continue"/>
          </w:tcPr>
          <w:p w14:paraId="0386C902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14:paraId="60E8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1" w:type="dxa"/>
            <w:gridSpan w:val="3"/>
          </w:tcPr>
          <w:p w14:paraId="1BE98359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Категорія замовника</w:t>
            </w:r>
          </w:p>
        </w:tc>
        <w:tc>
          <w:tcPr>
            <w:tcW w:w="6995" w:type="dxa"/>
            <w:gridSpan w:val="3"/>
            <w:vMerge w:val="continue"/>
          </w:tcPr>
          <w:p w14:paraId="6860B410">
            <w:pPr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14:paraId="08BE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vAlign w:val="center"/>
          </w:tcPr>
          <w:p w14:paraId="5A8CF04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Конкретна назва предмета закупівлі</w:t>
            </w:r>
          </w:p>
        </w:tc>
        <w:tc>
          <w:tcPr>
            <w:tcW w:w="2308" w:type="dxa"/>
            <w:vAlign w:val="center"/>
          </w:tcPr>
          <w:p w14:paraId="6BEB9BC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Коди відповідних класифікаторів предмета закупівлі за ДК 021:2015</w:t>
            </w:r>
          </w:p>
        </w:tc>
        <w:tc>
          <w:tcPr>
            <w:tcW w:w="2184" w:type="dxa"/>
            <w:vAlign w:val="center"/>
          </w:tcPr>
          <w:p w14:paraId="48C3168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Код КЕКВ</w:t>
            </w:r>
          </w:p>
        </w:tc>
        <w:tc>
          <w:tcPr>
            <w:tcW w:w="2327" w:type="dxa"/>
            <w:vAlign w:val="center"/>
          </w:tcPr>
          <w:p w14:paraId="7F44039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Розмір бюджетного призначення та або очікувана вартість предмета закупівлі</w:t>
            </w:r>
          </w:p>
        </w:tc>
        <w:tc>
          <w:tcPr>
            <w:tcW w:w="2340" w:type="dxa"/>
            <w:vAlign w:val="center"/>
          </w:tcPr>
          <w:p w14:paraId="6F4AD42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Процедура закупівлі</w:t>
            </w:r>
          </w:p>
        </w:tc>
        <w:tc>
          <w:tcPr>
            <w:tcW w:w="2328" w:type="dxa"/>
            <w:vAlign w:val="center"/>
          </w:tcPr>
          <w:p w14:paraId="24B9D8C7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Орієнтовний початок процедури закупівлі:</w:t>
            </w:r>
          </w:p>
        </w:tc>
      </w:tr>
      <w:tr w14:paraId="372A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7C24BB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Постачання електричної енергії</w:t>
            </w:r>
          </w:p>
        </w:tc>
        <w:tc>
          <w:tcPr>
            <w:tcW w:w="2308" w:type="dxa"/>
          </w:tcPr>
          <w:p w14:paraId="283D21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ДК021-2015: 09310000-5 — Електрична енергія</w:t>
            </w:r>
          </w:p>
        </w:tc>
        <w:tc>
          <w:tcPr>
            <w:tcW w:w="2184" w:type="dxa"/>
          </w:tcPr>
          <w:p w14:paraId="4C3F5FD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2273 — Оплата електроенергії</w:t>
            </w:r>
          </w:p>
        </w:tc>
        <w:tc>
          <w:tcPr>
            <w:tcW w:w="2327" w:type="dxa"/>
          </w:tcPr>
          <w:p w14:paraId="364BE8A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106600 </w:t>
            </w:r>
            <w:r>
              <w:rPr>
                <w:sz w:val="18"/>
                <w:szCs w:val="18"/>
                <w:lang w:val="en-US"/>
              </w:rPr>
              <w:t>,00</w:t>
            </w:r>
            <w:r>
              <w:rPr>
                <w:sz w:val="18"/>
                <w:szCs w:val="18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192A62E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0A21364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січень, 2024</w:t>
            </w:r>
          </w:p>
        </w:tc>
      </w:tr>
      <w:tr w14:paraId="36FD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059928F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Послуги у сфері поводження зі сміттям та відходами</w:t>
            </w:r>
          </w:p>
        </w:tc>
        <w:tc>
          <w:tcPr>
            <w:tcW w:w="2308" w:type="dxa"/>
          </w:tcPr>
          <w:p w14:paraId="5FC4B72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ДК021-2015: 90500000-2—</w:t>
            </w:r>
          </w:p>
          <w:p w14:paraId="67B02937">
            <w:pPr>
              <w:rPr>
                <w:sz w:val="18"/>
                <w:szCs w:val="18"/>
                <w:lang w:val="uk-UA"/>
              </w:rPr>
            </w:pPr>
            <w:r>
              <w:rPr>
                <w:rFonts w:eastAsia="Arial"/>
                <w:color w:val="474747"/>
                <w:sz w:val="18"/>
                <w:szCs w:val="18"/>
                <w:shd w:val="clear" w:color="auto" w:fill="FFFFFF"/>
              </w:rPr>
              <w:t>Оплата інших енергоносіїв та інших комунальних послуг</w:t>
            </w:r>
          </w:p>
        </w:tc>
        <w:tc>
          <w:tcPr>
            <w:tcW w:w="2184" w:type="dxa"/>
          </w:tcPr>
          <w:p w14:paraId="18B290C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2275—</w:t>
            </w:r>
            <w:r>
              <w:rPr>
                <w:rFonts w:eastAsia="Arial"/>
                <w:color w:val="474747"/>
                <w:sz w:val="18"/>
                <w:szCs w:val="18"/>
                <w:shd w:val="clear" w:color="auto" w:fill="FFFFFF"/>
              </w:rPr>
              <w:t>Оплата інших енергоносіїв та інших комунальних послуг</w:t>
            </w:r>
          </w:p>
        </w:tc>
        <w:tc>
          <w:tcPr>
            <w:tcW w:w="2327" w:type="dxa"/>
          </w:tcPr>
          <w:p w14:paraId="1569250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4973,76 UAH</w:t>
            </w:r>
          </w:p>
        </w:tc>
        <w:tc>
          <w:tcPr>
            <w:tcW w:w="2340" w:type="dxa"/>
          </w:tcPr>
          <w:p w14:paraId="7DBEEF6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20F375E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лютий, 2024</w:t>
            </w:r>
          </w:p>
        </w:tc>
      </w:tr>
      <w:tr w14:paraId="34CA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40CA0BC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Послуги WEB-хостингу</w:t>
            </w:r>
          </w:p>
        </w:tc>
        <w:tc>
          <w:tcPr>
            <w:tcW w:w="2308" w:type="dxa"/>
          </w:tcPr>
          <w:p w14:paraId="7185C4E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ДК021-2015: 72400000-4—</w:t>
            </w:r>
          </w:p>
          <w:p w14:paraId="7BA26827">
            <w:pPr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color w:val="4D5156"/>
                <w:sz w:val="18"/>
                <w:szCs w:val="18"/>
                <w:shd w:val="clear" w:color="auto" w:fill="FFFFFF"/>
              </w:rPr>
              <w:t>Інтернет-послуги</w:t>
            </w:r>
          </w:p>
          <w:p w14:paraId="2233754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84" w:type="dxa"/>
          </w:tcPr>
          <w:p w14:paraId="2B276C1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226B0195">
            <w:pPr>
              <w:rPr>
                <w:sz w:val="18"/>
                <w:szCs w:val="18"/>
                <w:highlight w:val="yellow"/>
                <w:lang w:val="uk-UA"/>
              </w:rPr>
            </w:pPr>
            <w:r>
              <w:rPr>
                <w:rFonts w:eastAsia="Liberation Sans"/>
                <w:color w:val="000000"/>
                <w:sz w:val="18"/>
                <w:szCs w:val="18"/>
              </w:rPr>
              <w:t>1200,00</w:t>
            </w:r>
            <w:r>
              <w:rPr>
                <w:rFonts w:eastAsia="Liberation Sans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7E28665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6EEA7D0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лютий, 2024</w:t>
            </w:r>
          </w:p>
        </w:tc>
      </w:tr>
      <w:tr w14:paraId="2927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9" w:type="dxa"/>
          </w:tcPr>
          <w:p w14:paraId="39EFB70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Послуги телефонного зв'язку та передачі даних</w:t>
            </w:r>
          </w:p>
        </w:tc>
        <w:tc>
          <w:tcPr>
            <w:tcW w:w="2308" w:type="dxa"/>
          </w:tcPr>
          <w:p w14:paraId="3C4D140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ДК021-2015: 64210000-1—</w:t>
            </w:r>
          </w:p>
          <w:p w14:paraId="31D792BC">
            <w:pPr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color w:val="4D5156"/>
                <w:sz w:val="18"/>
                <w:szCs w:val="18"/>
                <w:shd w:val="clear" w:color="auto" w:fill="FFFFFF"/>
              </w:rPr>
              <w:t>Послуги телефонного зв'язку та передачі даних</w:t>
            </w:r>
          </w:p>
        </w:tc>
        <w:tc>
          <w:tcPr>
            <w:tcW w:w="2184" w:type="dxa"/>
          </w:tcPr>
          <w:p w14:paraId="740743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55BE7DA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15985,62 UAH</w:t>
            </w:r>
          </w:p>
        </w:tc>
        <w:tc>
          <w:tcPr>
            <w:tcW w:w="2340" w:type="dxa"/>
          </w:tcPr>
          <w:p w14:paraId="07E761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528DE8C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лютий, 2024</w:t>
            </w:r>
          </w:p>
        </w:tc>
      </w:tr>
      <w:tr w14:paraId="2CA2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25CBD10">
            <w:pPr>
              <w:rPr>
                <w:sz w:val="18"/>
                <w:szCs w:val="18"/>
                <w:lang w:val="en-US"/>
              </w:rPr>
            </w:pPr>
            <w:r>
              <w:rPr>
                <w:rFonts w:eastAsia="Arial"/>
                <w:color w:val="585858"/>
                <w:sz w:val="18"/>
                <w:szCs w:val="18"/>
                <w:shd w:val="clear" w:color="auto" w:fill="F3F3F3"/>
              </w:rPr>
              <w:t> </w:t>
            </w:r>
            <w:r>
              <w:rPr>
                <w:rFonts w:eastAsia="Arial"/>
                <w:color w:val="000000"/>
                <w:sz w:val="18"/>
                <w:szCs w:val="18"/>
              </w:rPr>
              <w:t>Послуги провайдерів</w:t>
            </w:r>
          </w:p>
        </w:tc>
        <w:tc>
          <w:tcPr>
            <w:tcW w:w="2308" w:type="dxa"/>
          </w:tcPr>
          <w:p w14:paraId="5ACDDF82">
            <w:pPr>
              <w:rPr>
                <w:sz w:val="18"/>
                <w:szCs w:val="18"/>
                <w:lang w:val="uk-UA"/>
              </w:rPr>
            </w:pPr>
            <w:r>
              <w:rPr>
                <w:rFonts w:eastAsia="Arial"/>
                <w:color w:val="585858"/>
                <w:sz w:val="18"/>
                <w:szCs w:val="18"/>
                <w:shd w:val="clear" w:color="auto" w:fill="F3F3F3"/>
              </w:rPr>
              <w:t xml:space="preserve"> </w:t>
            </w:r>
            <w:r>
              <w:rPr>
                <w:rFonts w:eastAsia="Arial"/>
                <w:color w:val="585858"/>
                <w:sz w:val="18"/>
                <w:szCs w:val="18"/>
              </w:rPr>
              <w:t>ДК 021-2015): </w:t>
            </w:r>
            <w:r>
              <w:rPr>
                <w:rFonts w:eastAsia="Arial"/>
                <w:color w:val="000000"/>
                <w:sz w:val="18"/>
                <w:szCs w:val="18"/>
              </w:rPr>
              <w:t>72410000-7</w:t>
            </w:r>
            <w:r>
              <w:rPr>
                <w:rFonts w:eastAsia="Arial"/>
                <w:color w:val="585858"/>
                <w:sz w:val="18"/>
                <w:szCs w:val="18"/>
              </w:rPr>
              <w:t> - </w:t>
            </w:r>
            <w:r>
              <w:rPr>
                <w:rFonts w:eastAsia="Arial"/>
                <w:color w:val="000000"/>
                <w:sz w:val="18"/>
                <w:szCs w:val="18"/>
              </w:rPr>
              <w:t>Послуги провайдерів</w:t>
            </w:r>
          </w:p>
        </w:tc>
        <w:tc>
          <w:tcPr>
            <w:tcW w:w="2184" w:type="dxa"/>
          </w:tcPr>
          <w:p w14:paraId="270470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704E0C55">
            <w:pPr>
              <w:rPr>
                <w:color w:val="FF0000"/>
                <w:sz w:val="18"/>
                <w:szCs w:val="18"/>
                <w:lang w:val="uk-UA"/>
              </w:rPr>
            </w:pPr>
            <w:r>
              <w:rPr>
                <w:rFonts w:eastAsia="Liberation Sans"/>
                <w:color w:val="000000"/>
                <w:sz w:val="18"/>
                <w:szCs w:val="18"/>
              </w:rPr>
              <w:t>1200,00</w:t>
            </w:r>
            <w:r>
              <w:rPr>
                <w:sz w:val="18"/>
                <w:szCs w:val="18"/>
                <w:lang w:val="uk-UA"/>
              </w:rPr>
              <w:t xml:space="preserve"> UAH</w:t>
            </w:r>
          </w:p>
          <w:p w14:paraId="300B9471">
            <w:pPr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340" w:type="dxa"/>
          </w:tcPr>
          <w:p w14:paraId="7D3C06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02C3CD2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лютий, 2024</w:t>
            </w:r>
          </w:p>
        </w:tc>
      </w:tr>
      <w:tr w14:paraId="3672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299" w:type="dxa"/>
          </w:tcPr>
          <w:p w14:paraId="2A95ADDD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18"/>
                <w:szCs w:val="18"/>
                <w:shd w:val="clear" w:color="auto" w:fill="FDFEFD"/>
              </w:rPr>
              <w:t>Страхування від нещасних випадків на транспорті</w:t>
            </w:r>
          </w:p>
          <w:p w14:paraId="0BA6CED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8" w:type="dxa"/>
          </w:tcPr>
          <w:p w14:paraId="19593D43">
            <w:pPr>
              <w:rPr>
                <w:sz w:val="18"/>
                <w:szCs w:val="18"/>
                <w:lang w:val="uk-UA"/>
              </w:rPr>
            </w:pPr>
            <w:r>
              <w:rPr>
                <w:rFonts w:eastAsia="Arial"/>
                <w:color w:val="000000"/>
                <w:sz w:val="18"/>
                <w:szCs w:val="18"/>
                <w:shd w:val="clear" w:color="auto" w:fill="FDFEFD"/>
              </w:rPr>
              <w:t>66500000-5 - Страхові та пенсійні послуги</w:t>
            </w:r>
          </w:p>
        </w:tc>
        <w:tc>
          <w:tcPr>
            <w:tcW w:w="2184" w:type="dxa"/>
          </w:tcPr>
          <w:p w14:paraId="0F8FE73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1EA510F4">
            <w:pPr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102</w:t>
            </w:r>
            <w:r>
              <w:rPr>
                <w:sz w:val="18"/>
                <w:szCs w:val="18"/>
                <w:lang w:val="en-US"/>
              </w:rPr>
              <w:t>,00</w:t>
            </w:r>
            <w:r>
              <w:rPr>
                <w:sz w:val="18"/>
                <w:szCs w:val="18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3D88256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2B1096B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  <w:r>
              <w:rPr>
                <w:sz w:val="18"/>
                <w:szCs w:val="18"/>
                <w:lang w:val="en-US"/>
              </w:rPr>
              <w:t>, 2024</w:t>
            </w:r>
          </w:p>
        </w:tc>
      </w:tr>
      <w:tr w14:paraId="708F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58F29733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000000"/>
                <w:sz w:val="18"/>
                <w:szCs w:val="18"/>
                <w:shd w:val="clear" w:color="auto" w:fill="FDFEFD"/>
              </w:rPr>
              <w:t>Страхування цивільно-правової відповідальності власників наземних транспортних засобів</w:t>
            </w:r>
          </w:p>
          <w:p w14:paraId="5DC2D8B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308" w:type="dxa"/>
          </w:tcPr>
          <w:p w14:paraId="17012B7E">
            <w:pPr>
              <w:rPr>
                <w:sz w:val="18"/>
                <w:szCs w:val="18"/>
                <w:lang w:val="uk-UA"/>
              </w:rPr>
            </w:pPr>
            <w:r>
              <w:rPr>
                <w:rFonts w:eastAsia="Arial"/>
                <w:color w:val="000000"/>
                <w:sz w:val="18"/>
                <w:szCs w:val="18"/>
                <w:shd w:val="clear" w:color="auto" w:fill="FDFEFD"/>
              </w:rPr>
              <w:t>66510000-8 - Страхові послуги</w:t>
            </w:r>
          </w:p>
        </w:tc>
        <w:tc>
          <w:tcPr>
            <w:tcW w:w="2184" w:type="dxa"/>
          </w:tcPr>
          <w:p w14:paraId="22EE450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29DB2FF4">
            <w:pPr>
              <w:rPr>
                <w:color w:val="000000"/>
                <w:sz w:val="18"/>
                <w:szCs w:val="18"/>
                <w:highlight w:val="yellow"/>
                <w:shd w:val="clear" w:color="auto" w:fill="F3F3F3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2250,00</w:t>
            </w:r>
            <w:r>
              <w:rPr>
                <w:sz w:val="18"/>
                <w:szCs w:val="18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58CB7AA2">
            <w:pPr>
              <w:rPr>
                <w:sz w:val="18"/>
                <w:szCs w:val="18"/>
                <w:shd w:val="clear" w:color="auto" w:fill="F3F3F3"/>
              </w:rPr>
            </w:pPr>
            <w:r>
              <w:rPr>
                <w:sz w:val="18"/>
                <w:szCs w:val="18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112C6E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  <w:r>
              <w:rPr>
                <w:sz w:val="18"/>
                <w:szCs w:val="18"/>
                <w:lang w:val="en-US"/>
              </w:rPr>
              <w:t>, 2024</w:t>
            </w:r>
          </w:p>
        </w:tc>
      </w:tr>
      <w:tr w14:paraId="1EE7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2E95218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Спеціальне медичне харчування для ентерального харчування пацієнтів хворих на бульозний епідермоліз: Лот 1 –  «Нутрідрінк Протеїн» в асортименті або еквівалент; Лот 2 -  «Нутрідрінк Скін Репеар» в асортименті або еквівалент; Лот 3 –  «Nutricia Liquigen» або еквівалент; Лот 4 –  «Resource Джуніор» або еквівалент</w:t>
            </w:r>
          </w:p>
          <w:p w14:paraId="06DD52E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73C1938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15880000-0 - Спеціальні продукти харчування, збагачені поживними речовинами</w:t>
            </w:r>
          </w:p>
        </w:tc>
        <w:tc>
          <w:tcPr>
            <w:tcW w:w="2184" w:type="dxa"/>
          </w:tcPr>
          <w:p w14:paraId="64464DD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3DDC6E8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7824B47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797`205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56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332C8CD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4F23790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квітень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 2024</w:t>
            </w:r>
          </w:p>
        </w:tc>
      </w:tr>
      <w:tr w14:paraId="436C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99" w:type="dxa"/>
          </w:tcPr>
          <w:p w14:paraId="2D16CC89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«Ocrelizumab»</w:t>
            </w:r>
          </w:p>
          <w:p w14:paraId="0BA1932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19814DF8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0261577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148ED9F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54F053B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3`306`922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74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22C9770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25E7A9E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квітень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 2024</w:t>
            </w:r>
          </w:p>
        </w:tc>
      </w:tr>
      <w:tr w14:paraId="1F34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1F69650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Спеціальне харчування для пацієнтів хворих на СМА: Лот 1 - «Неокейт»/Neocate або еквівалент; Лот 2 - «Нутрідрінк Компакт з харчовими волокнами»/Nutridrink Compact Fibre або еквівалент; Лот 3 –  «Нутрізон Паудер»/Nutrison Powder або еквівалент; Лот 4 –  «Нутріні»/Nutrini або еквівалент; Лот 5 –  «Ресурс Джуніор»/Resource Junior або еквівалент; Лот 6 -  «Нутрізон з харчовими волокнами» /Nutrison Multi Fibre або еквівалент; Лот 7 - «Нутрізон з харчовими волокнами Нутрідрінк</w:t>
            </w:r>
          </w:p>
          <w:p w14:paraId="628968F1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 xml:space="preserve"> Протеїн» /Nutridrink Protein або еквівалент</w:t>
            </w:r>
          </w:p>
          <w:p w14:paraId="1E747D2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75F1EF6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15880000-0 - Спеціальні продукти харчування, збагачені поживними речовинами</w:t>
            </w:r>
          </w:p>
        </w:tc>
        <w:tc>
          <w:tcPr>
            <w:tcW w:w="2184" w:type="dxa"/>
          </w:tcPr>
          <w:p w14:paraId="70C78C58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0A4B29F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2B457F1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1`119`541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44 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2428FCA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5370889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т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равень, 2024</w:t>
            </w:r>
          </w:p>
        </w:tc>
      </w:tr>
      <w:tr w14:paraId="1CEA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7977897F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«Risdiplam»</w:t>
            </w:r>
          </w:p>
          <w:p w14:paraId="42EEB13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5A10B7E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6A62620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1366DD2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06EEFB48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3`599`999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90 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192A9AB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127E936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т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равень, 2024</w:t>
            </w:r>
          </w:p>
        </w:tc>
      </w:tr>
      <w:tr w14:paraId="678C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1D16CFD9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Послуги з адміністрування програмного забезпечення КП"M.E.Doc"</w:t>
            </w:r>
          </w:p>
          <w:p w14:paraId="0528726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7BB99B4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72220000-3 - Консультаційні послуги з питань систем та з технічних питань</w:t>
            </w:r>
          </w:p>
        </w:tc>
        <w:tc>
          <w:tcPr>
            <w:tcW w:w="2184" w:type="dxa"/>
          </w:tcPr>
          <w:p w14:paraId="1A86E60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4433A8D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3500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00 UAH</w:t>
            </w:r>
          </w:p>
        </w:tc>
        <w:tc>
          <w:tcPr>
            <w:tcW w:w="2340" w:type="dxa"/>
          </w:tcPr>
          <w:p w14:paraId="0CE0CAC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26CED34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т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равень, 2024</w:t>
            </w:r>
          </w:p>
        </w:tc>
      </w:tr>
      <w:tr w14:paraId="32FC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07495849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Спеціальний продукт харчування для дітей хворих на фенілкетонурію: Лот 1 -  «PKU Anamix Infant»/ФКУ Анамікс Інфант або еквівалент; Лот 2 -  «PKU Nutri 1 Energy»/ ФКУ Нутрі 1 Енерджі або еквівалент; Лот 3 –  «PKU Nutri 2 Energy»/ФКУ Нутрі 2 Енерджі або еквівалент; Лот 4 – «PKU Nutri 2 Concentrate»/ФКУ Нутрі 2 Концентрат або еквівалент; Лот 5 –  «PKU Nutri 3 Concentrate»/ФКУ Нутрі 3 Концентрат або еквівалент; Лот 6 –  «Comida PKU B»/Коміда ФКУ В або еквівалент; Лот 7 –  «Comida PKU C»/Коміда ФКУ C або еквівалент</w:t>
            </w:r>
          </w:p>
          <w:p w14:paraId="28C79CC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0CD641E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15880000-0 - Спеціальні продукти харчування, збагачені поживними речовинами</w:t>
            </w:r>
          </w:p>
        </w:tc>
        <w:tc>
          <w:tcPr>
            <w:tcW w:w="2184" w:type="dxa"/>
          </w:tcPr>
          <w:p w14:paraId="07EF301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6228969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24DE000B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5`793`228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72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73B4780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6D6E13DD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червень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3EC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05D710EC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Слуховий апарат для внутрішнього вуха цифровий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 xml:space="preserve"> </w:t>
            </w:r>
          </w:p>
          <w:p w14:paraId="0357FC0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616C1BFD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33180000-5 - Апаратура для підтримування фізіологічних функцій організму</w:t>
            </w:r>
          </w:p>
        </w:tc>
        <w:tc>
          <w:tcPr>
            <w:tcW w:w="2184" w:type="dxa"/>
          </w:tcPr>
          <w:p w14:paraId="4C01E48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089A387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7A67C9E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403`176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7AB8CDB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1EB91E55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c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ерпень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464B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EF2A24D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Спеціальне медичне харчування для дітей хворих на муковісцидоз: Лот 1 –  «Нутрідрінк Компакт з харчовими волокнами» / Nutridrink Compact Fibre в асортименті або еквівалент; Лот 2 – «Фортіні» / Fortini в асортименті або еквівалент; Лот 3 –  «Nutricia Liquigen» / Ліквіджен або еквівалент; Лот 4 – «Діасіп» / Diasip в асортименті або еквівалент</w:t>
            </w:r>
          </w:p>
          <w:p w14:paraId="2FAA5CAD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35B2229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15880000-0 - Спеціальні продукти харчування, збагачені поживними речовинами</w:t>
            </w:r>
          </w:p>
        </w:tc>
        <w:tc>
          <w:tcPr>
            <w:tcW w:w="2184" w:type="dxa"/>
          </w:tcPr>
          <w:p w14:paraId="3B8645C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5F11EAE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32575A9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1`452`213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5C3A5D7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461FA00D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c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ерпень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58B3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745603CB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Послуга з адміністрування (обслуговування) програмного забезпечення</w:t>
            </w:r>
          </w:p>
          <w:p w14:paraId="7BDD4C58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73C6BAA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72260000-5 - Послуги, пов’язані з програмним забезпеченням</w:t>
            </w:r>
          </w:p>
        </w:tc>
        <w:tc>
          <w:tcPr>
            <w:tcW w:w="2184" w:type="dxa"/>
          </w:tcPr>
          <w:p w14:paraId="29F2E3F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2240 — Оплата послуг (крім комунальних)</w:t>
            </w:r>
          </w:p>
        </w:tc>
        <w:tc>
          <w:tcPr>
            <w:tcW w:w="2327" w:type="dxa"/>
          </w:tcPr>
          <w:p w14:paraId="66216CF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3`420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2B5D92C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3FD4905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c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ерпень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5A9A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shd w:val="clear" w:color="auto" w:fill="auto"/>
          </w:tcPr>
          <w:p w14:paraId="38E5E96D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«Lenalidomide»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10 мг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; «Lenalidomide»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15 мг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; «Lenalidomide»</w:t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25 мг</w:t>
            </w:r>
          </w:p>
          <w:p w14:paraId="33D9E88B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14:paraId="49BADA29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  <w:shd w:val="clear" w:color="auto" w:fill="auto"/>
          </w:tcPr>
          <w:p w14:paraId="334086F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2B7A589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  <w:shd w:val="clear" w:color="auto" w:fill="auto"/>
          </w:tcPr>
          <w:p w14:paraId="423BED8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2`020`695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10136F0B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5497B22A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вересень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23BD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shd w:val="clear" w:color="auto" w:fill="auto"/>
          </w:tcPr>
          <w:p w14:paraId="49A82514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«Mycophenolic acid»; «Azathioprine»</w:t>
            </w:r>
          </w:p>
          <w:p w14:paraId="7ECD122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14:paraId="1C3D69D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  <w:shd w:val="clear" w:color="auto" w:fill="auto"/>
          </w:tcPr>
          <w:p w14:paraId="3BF21F8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574EBEF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  <w:shd w:val="clear" w:color="auto" w:fill="auto"/>
          </w:tcPr>
          <w:p w14:paraId="7AFCA4D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1 196 667,67 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494E02C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50CEAC8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вересень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2C9D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shd w:val="clear" w:color="auto" w:fill="auto"/>
          </w:tcPr>
          <w:p w14:paraId="2585E2B1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«Darbepoetin alfa»</w:t>
            </w:r>
          </w:p>
          <w:p w14:paraId="1DE63E6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  <w:shd w:val="clear" w:color="auto" w:fill="auto"/>
          </w:tcPr>
          <w:p w14:paraId="24F3C11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  <w:shd w:val="clear" w:color="auto" w:fill="auto"/>
          </w:tcPr>
          <w:p w14:paraId="10D9A98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4288A0E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  <w:shd w:val="clear" w:color="auto" w:fill="auto"/>
          </w:tcPr>
          <w:p w14:paraId="2F756FF7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 xml:space="preserve">324 720,24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47551CB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273B64FC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жовтень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7289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33B461FC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«Fluorouracil»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  <w:lang w:val="uk-UA"/>
              </w:rPr>
              <w:t>(закупівля не відбулась)</w:t>
            </w:r>
          </w:p>
          <w:p w14:paraId="52CAA2D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42D679A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00BFB0B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523C838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14AAA721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656 760</w:t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  <w:lang w:val="en-US"/>
              </w:rPr>
              <w:t>,00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71DA56C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603F2C0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жовтень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1A15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8E63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«Risdiplam»</w:t>
            </w:r>
          </w:p>
          <w:p w14:paraId="3045BC3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28FF40F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529A6C9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1AEA63C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3DA8C88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1 028 571,40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0F20C5F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Відкриті торги з особливостями</w:t>
            </w:r>
          </w:p>
        </w:tc>
        <w:tc>
          <w:tcPr>
            <w:tcW w:w="2328" w:type="dxa"/>
          </w:tcPr>
          <w:p w14:paraId="775885E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жовтень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0133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BFAA4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Бензин А-95</w:t>
            </w:r>
          </w:p>
          <w:p w14:paraId="505341C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0CDB201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09130000-9 - Нафта і дистиляти</w:t>
            </w:r>
          </w:p>
        </w:tc>
        <w:tc>
          <w:tcPr>
            <w:tcW w:w="2184" w:type="dxa"/>
          </w:tcPr>
          <w:p w14:paraId="08A0896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2210 - Предмети, матеріали, обладнання та інвентар</w:t>
            </w:r>
          </w:p>
        </w:tc>
        <w:tc>
          <w:tcPr>
            <w:tcW w:w="2327" w:type="dxa"/>
          </w:tcPr>
          <w:p w14:paraId="191F309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</w:rPr>
              <w:t>16`636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</w:rPr>
              <w:t>80 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26B64E5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2437E0D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жовтень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,2024</w:t>
            </w:r>
          </w:p>
        </w:tc>
      </w:tr>
      <w:tr w14:paraId="4BA5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13BBA">
            <w:pPr>
              <w:pStyle w:val="2"/>
              <w:keepNext w:val="0"/>
              <w:widowControl/>
              <w:shd w:val="clear" w:color="auto" w:fill="FDFEFD"/>
              <w:spacing w:before="0" w:after="0" w:line="300" w:lineRule="atLeast"/>
              <w:ind w:left="0" w:firstLine="0"/>
              <w:textAlignment w:val="baseline"/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DFEFD"/>
              </w:rPr>
              <w:t>Технічне обслуговування та поточний ремонт автомобіля</w:t>
            </w:r>
          </w:p>
          <w:p w14:paraId="2F79D36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2E4C86F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50112000-3 - Послуги з ремонту і технічного обслуговування автомобілів</w:t>
            </w:r>
          </w:p>
        </w:tc>
        <w:tc>
          <w:tcPr>
            <w:tcW w:w="2184" w:type="dxa"/>
          </w:tcPr>
          <w:p w14:paraId="372E7F3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2240 - Оплата послуг (крім комунальних)</w:t>
            </w:r>
          </w:p>
        </w:tc>
        <w:tc>
          <w:tcPr>
            <w:tcW w:w="2327" w:type="dxa"/>
          </w:tcPr>
          <w:p w14:paraId="1CF14D2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8`500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en-US"/>
              </w:rPr>
              <w:t>,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00 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6D9078AB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5FF8F206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л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истопад, 2024</w:t>
            </w:r>
          </w:p>
        </w:tc>
      </w:tr>
      <w:tr w14:paraId="3381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F75D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«Exemestane»; «Anastrozole»; «Gefitinib»; «Ibandronic acid»; «Calcium folinate»; «Calcium folinate»</w:t>
            </w:r>
          </w:p>
          <w:p w14:paraId="144CA45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4999E21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264F3A18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14373B8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398E84B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2 077 719 </w:t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  <w:lang w:val="en-US"/>
              </w:rPr>
              <w:t>,</w:t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  <w:lang w:val="uk-UA"/>
              </w:rPr>
              <w:t>00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0FF80FB4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5DABD89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л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истопад, 2024</w:t>
            </w:r>
          </w:p>
        </w:tc>
      </w:tr>
      <w:tr w14:paraId="75C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BC13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«Lenalidomide»; «Lenalidomide»; «Deferasirox»</w:t>
            </w:r>
          </w:p>
          <w:p w14:paraId="31665D7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05214F13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33600000-6 - Фармацевтична продукція</w:t>
            </w:r>
          </w:p>
        </w:tc>
        <w:tc>
          <w:tcPr>
            <w:tcW w:w="2184" w:type="dxa"/>
          </w:tcPr>
          <w:p w14:paraId="0826D91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 xml:space="preserve">2282 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— Окремі заходи по реалізації</w:t>
            </w:r>
          </w:p>
          <w:p w14:paraId="729AE24B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державних(регіональних) програм</w:t>
            </w:r>
            <w:r>
              <w:rPr>
                <w:color w:val="auto"/>
                <w:sz w:val="18"/>
                <w:szCs w:val="18"/>
                <w:highlight w:val="none"/>
                <w:lang w:val="en-US"/>
              </w:rPr>
              <w:t>,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не віднесені до заходів розвитку</w:t>
            </w:r>
          </w:p>
        </w:tc>
        <w:tc>
          <w:tcPr>
            <w:tcW w:w="2327" w:type="dxa"/>
          </w:tcPr>
          <w:p w14:paraId="4435D6F1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</w:rPr>
              <w:t>1 999 545,60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3379649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Запит (ціни) пропозиці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  <w:lang w:val="uk-UA"/>
              </w:rPr>
              <w:t>ї</w:t>
            </w:r>
          </w:p>
        </w:tc>
        <w:tc>
          <w:tcPr>
            <w:tcW w:w="2328" w:type="dxa"/>
          </w:tcPr>
          <w:p w14:paraId="7E3E44E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грудень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, 2024</w:t>
            </w:r>
          </w:p>
        </w:tc>
      </w:tr>
      <w:tr w14:paraId="0E7F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0516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Папір А4</w:t>
            </w:r>
          </w:p>
          <w:p w14:paraId="043CC159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6069035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30190000-7 Офісне устаткування та приладдя різне</w:t>
            </w:r>
          </w:p>
        </w:tc>
        <w:tc>
          <w:tcPr>
            <w:tcW w:w="2184" w:type="dxa"/>
          </w:tcPr>
          <w:p w14:paraId="274A9105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2210 - Предмети, матеріали, обладнання та інвентар</w:t>
            </w:r>
          </w:p>
        </w:tc>
        <w:tc>
          <w:tcPr>
            <w:tcW w:w="2327" w:type="dxa"/>
          </w:tcPr>
          <w:p w14:paraId="60397F9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26 759,70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4FCD17F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574F91CD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грудень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, 2024</w:t>
            </w:r>
          </w:p>
        </w:tc>
      </w:tr>
      <w:tr w14:paraId="5455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FE19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Папір А4 та папка -скорозшивач</w:t>
            </w:r>
          </w:p>
          <w:p w14:paraId="1EFD9B3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3C06D320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30190000-7 Офісне устаткування та приладдя різне</w:t>
            </w:r>
          </w:p>
        </w:tc>
        <w:tc>
          <w:tcPr>
            <w:tcW w:w="2184" w:type="dxa"/>
          </w:tcPr>
          <w:p w14:paraId="3EA3FF4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2210 - Предмети, матеріали, обладнання та інвентар</w:t>
            </w:r>
          </w:p>
        </w:tc>
        <w:tc>
          <w:tcPr>
            <w:tcW w:w="2327" w:type="dxa"/>
          </w:tcPr>
          <w:p w14:paraId="7849D622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ascii="SimSun" w:hAnsi="SimSun" w:eastAsia="SimSun" w:cs="SimSun"/>
                <w:color w:val="auto"/>
                <w:highlight w:val="none"/>
              </w:rPr>
              <w:br w:type="textWrapping"/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5 000</w:t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  <w:lang w:val="en-US"/>
              </w:rPr>
              <w:t>,00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011DF81E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37AC801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грудень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, 2024</w:t>
            </w:r>
          </w:p>
        </w:tc>
      </w:tr>
      <w:tr w14:paraId="1D82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321B">
            <w:pPr>
              <w:pStyle w:val="2"/>
              <w:keepNext w:val="0"/>
              <w:widowControl/>
              <w:shd w:val="clear" w:color="auto" w:fill="FFFFFF"/>
              <w:spacing w:before="0" w:after="100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FFFFFF"/>
              </w:rPr>
              <w:t>Технічне обслуговування і ремонт офісної техніки</w:t>
            </w:r>
          </w:p>
          <w:p w14:paraId="09F1A09C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</w:p>
        </w:tc>
        <w:tc>
          <w:tcPr>
            <w:tcW w:w="2308" w:type="dxa"/>
          </w:tcPr>
          <w:p w14:paraId="5AFDB157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  <w:shd w:val="clear" w:color="auto" w:fill="FFFFFF"/>
              </w:rPr>
              <w:t>50310000-1 Технічне обслуговування і ремонт офісної техніки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0DB4A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2240 - Оплата послуг (крім комунальних)</w:t>
            </w:r>
          </w:p>
        </w:tc>
        <w:tc>
          <w:tcPr>
            <w:tcW w:w="2327" w:type="dxa"/>
          </w:tcPr>
          <w:p w14:paraId="5EDB7BAF">
            <w:pPr>
              <w:rPr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eastAsia="SimSun"/>
                <w:color w:val="auto"/>
                <w:sz w:val="18"/>
                <w:szCs w:val="18"/>
                <w:highlight w:val="none"/>
              </w:rPr>
              <w:t>8 000</w:t>
            </w:r>
            <w:r>
              <w:rPr>
                <w:rFonts w:eastAsia="SimSun"/>
                <w:color w:val="auto"/>
                <w:sz w:val="18"/>
                <w:szCs w:val="18"/>
                <w:highlight w:val="none"/>
                <w:lang w:val="en-US"/>
              </w:rPr>
              <w:t>,00</w:t>
            </w: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 xml:space="preserve"> UAH</w:t>
            </w:r>
          </w:p>
        </w:tc>
        <w:tc>
          <w:tcPr>
            <w:tcW w:w="2340" w:type="dxa"/>
          </w:tcPr>
          <w:p w14:paraId="33DCA0F2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328" w:type="dxa"/>
          </w:tcPr>
          <w:p w14:paraId="5DBD2ACF">
            <w:pPr>
              <w:rPr>
                <w:color w:val="auto"/>
                <w:sz w:val="18"/>
                <w:szCs w:val="18"/>
                <w:highlight w:val="none"/>
                <w:lang w:val="uk-UA"/>
              </w:rPr>
            </w:pPr>
            <w:r>
              <w:rPr>
                <w:color w:val="auto"/>
                <w:sz w:val="18"/>
                <w:szCs w:val="18"/>
                <w:highlight w:val="none"/>
                <w:lang w:val="uk-UA"/>
              </w:rPr>
              <w:t>грудень</w:t>
            </w:r>
            <w:r>
              <w:rPr>
                <w:rFonts w:eastAsia="Arial"/>
                <w:color w:val="auto"/>
                <w:sz w:val="18"/>
                <w:szCs w:val="18"/>
                <w:highlight w:val="none"/>
                <w:shd w:val="clear" w:color="auto" w:fill="FDFEFD"/>
              </w:rPr>
              <w:t>, 2024</w:t>
            </w:r>
          </w:p>
        </w:tc>
      </w:tr>
    </w:tbl>
    <w:p w14:paraId="7321F847">
      <w:pPr>
        <w:rPr>
          <w:color w:val="auto"/>
          <w:highlight w:val="none"/>
          <w:lang w:val="uk-UA"/>
        </w:rPr>
      </w:pPr>
    </w:p>
    <w:p w14:paraId="3A4DB478">
      <w:pPr>
        <w:rPr>
          <w:lang w:val="uk-UA"/>
        </w:rPr>
      </w:pPr>
    </w:p>
    <w:p w14:paraId="71041E71">
      <w:pPr>
        <w:rPr>
          <w:lang w:val="uk-UA"/>
        </w:rPr>
      </w:pPr>
      <w:bookmarkStart w:id="0" w:name="_GoBack"/>
      <w:bookmarkEnd w:id="0"/>
    </w:p>
    <w:sectPr>
      <w:pgSz w:w="16838" w:h="11906" w:orient="landscape"/>
      <w:pgMar w:top="568" w:right="1134" w:bottom="709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4"/>
    <w:rsid w:val="00012FAA"/>
    <w:rsid w:val="00016B43"/>
    <w:rsid w:val="000A60D0"/>
    <w:rsid w:val="000B4513"/>
    <w:rsid w:val="000D2CA9"/>
    <w:rsid w:val="00116B4C"/>
    <w:rsid w:val="001209DF"/>
    <w:rsid w:val="00172DBB"/>
    <w:rsid w:val="001D66BE"/>
    <w:rsid w:val="001D76F0"/>
    <w:rsid w:val="00230CAD"/>
    <w:rsid w:val="003060D9"/>
    <w:rsid w:val="003703FD"/>
    <w:rsid w:val="003A14C2"/>
    <w:rsid w:val="003C5358"/>
    <w:rsid w:val="00416506"/>
    <w:rsid w:val="00434BBB"/>
    <w:rsid w:val="004470B9"/>
    <w:rsid w:val="00466FA5"/>
    <w:rsid w:val="004A0914"/>
    <w:rsid w:val="004B5DBA"/>
    <w:rsid w:val="004C0243"/>
    <w:rsid w:val="00517FAE"/>
    <w:rsid w:val="00564299"/>
    <w:rsid w:val="0057481F"/>
    <w:rsid w:val="005854A0"/>
    <w:rsid w:val="00597D81"/>
    <w:rsid w:val="005D7D27"/>
    <w:rsid w:val="00606A3E"/>
    <w:rsid w:val="00647C50"/>
    <w:rsid w:val="00653192"/>
    <w:rsid w:val="00666500"/>
    <w:rsid w:val="00697FCD"/>
    <w:rsid w:val="006A1C4D"/>
    <w:rsid w:val="006D42BC"/>
    <w:rsid w:val="006F27DB"/>
    <w:rsid w:val="006F535C"/>
    <w:rsid w:val="00903829"/>
    <w:rsid w:val="00942841"/>
    <w:rsid w:val="009634B4"/>
    <w:rsid w:val="009D0F68"/>
    <w:rsid w:val="009D1F53"/>
    <w:rsid w:val="00A03157"/>
    <w:rsid w:val="00A14EB8"/>
    <w:rsid w:val="00A33265"/>
    <w:rsid w:val="00A94E2E"/>
    <w:rsid w:val="00AE5936"/>
    <w:rsid w:val="00B63E2E"/>
    <w:rsid w:val="00BE0821"/>
    <w:rsid w:val="00C752D6"/>
    <w:rsid w:val="00D17CB6"/>
    <w:rsid w:val="00D70BB6"/>
    <w:rsid w:val="00DC0ED1"/>
    <w:rsid w:val="00E45A20"/>
    <w:rsid w:val="00E54606"/>
    <w:rsid w:val="00E666DD"/>
    <w:rsid w:val="00EC0209"/>
    <w:rsid w:val="00EE697D"/>
    <w:rsid w:val="00F86200"/>
    <w:rsid w:val="01590644"/>
    <w:rsid w:val="016F05E9"/>
    <w:rsid w:val="01C05E96"/>
    <w:rsid w:val="01C60FD7"/>
    <w:rsid w:val="02510EA1"/>
    <w:rsid w:val="03CF497C"/>
    <w:rsid w:val="08522E02"/>
    <w:rsid w:val="08603088"/>
    <w:rsid w:val="08662D55"/>
    <w:rsid w:val="089C5E78"/>
    <w:rsid w:val="09CE6D98"/>
    <w:rsid w:val="0B77579A"/>
    <w:rsid w:val="0B9F6D1F"/>
    <w:rsid w:val="0CAD1774"/>
    <w:rsid w:val="0D420585"/>
    <w:rsid w:val="111B155C"/>
    <w:rsid w:val="121C5E50"/>
    <w:rsid w:val="172F3914"/>
    <w:rsid w:val="19142677"/>
    <w:rsid w:val="1CDC2E10"/>
    <w:rsid w:val="1D1D5116"/>
    <w:rsid w:val="1D585727"/>
    <w:rsid w:val="1DBC3529"/>
    <w:rsid w:val="1DCF3B02"/>
    <w:rsid w:val="203D0F15"/>
    <w:rsid w:val="208E291D"/>
    <w:rsid w:val="21E32E28"/>
    <w:rsid w:val="21EF23EB"/>
    <w:rsid w:val="235A48D5"/>
    <w:rsid w:val="248F3D0B"/>
    <w:rsid w:val="24963695"/>
    <w:rsid w:val="260827A2"/>
    <w:rsid w:val="29A924DB"/>
    <w:rsid w:val="2B0A10AB"/>
    <w:rsid w:val="2B0A5A98"/>
    <w:rsid w:val="2B73402A"/>
    <w:rsid w:val="2C5D07DB"/>
    <w:rsid w:val="2D6B1274"/>
    <w:rsid w:val="2E90368E"/>
    <w:rsid w:val="2FC01FE3"/>
    <w:rsid w:val="30157F70"/>
    <w:rsid w:val="30761B12"/>
    <w:rsid w:val="32644499"/>
    <w:rsid w:val="32921E76"/>
    <w:rsid w:val="349E1A71"/>
    <w:rsid w:val="35626C4A"/>
    <w:rsid w:val="35E375AB"/>
    <w:rsid w:val="36DD0F18"/>
    <w:rsid w:val="37216C33"/>
    <w:rsid w:val="374E6ADF"/>
    <w:rsid w:val="37C3720B"/>
    <w:rsid w:val="3AB3173C"/>
    <w:rsid w:val="3ADB5B97"/>
    <w:rsid w:val="3EFC23E1"/>
    <w:rsid w:val="40036170"/>
    <w:rsid w:val="401F4947"/>
    <w:rsid w:val="403668E3"/>
    <w:rsid w:val="40843E67"/>
    <w:rsid w:val="41147AE1"/>
    <w:rsid w:val="42D93118"/>
    <w:rsid w:val="43A47292"/>
    <w:rsid w:val="43EC12FF"/>
    <w:rsid w:val="45C254AB"/>
    <w:rsid w:val="462E6D52"/>
    <w:rsid w:val="46C73A51"/>
    <w:rsid w:val="475A0FD6"/>
    <w:rsid w:val="482F0A82"/>
    <w:rsid w:val="490B45C2"/>
    <w:rsid w:val="49AE5344"/>
    <w:rsid w:val="4A38113B"/>
    <w:rsid w:val="4BA7049A"/>
    <w:rsid w:val="4BCD707B"/>
    <w:rsid w:val="4D9E677B"/>
    <w:rsid w:val="4E2108CE"/>
    <w:rsid w:val="4E2634AB"/>
    <w:rsid w:val="4F603BEF"/>
    <w:rsid w:val="50D150E9"/>
    <w:rsid w:val="52A8413D"/>
    <w:rsid w:val="532E0108"/>
    <w:rsid w:val="533B1F05"/>
    <w:rsid w:val="54036AE1"/>
    <w:rsid w:val="552A4345"/>
    <w:rsid w:val="556B3488"/>
    <w:rsid w:val="56D320C8"/>
    <w:rsid w:val="57561FD0"/>
    <w:rsid w:val="599010D2"/>
    <w:rsid w:val="5AB45D06"/>
    <w:rsid w:val="5ADC53E8"/>
    <w:rsid w:val="5B8D1BD1"/>
    <w:rsid w:val="5CD652DB"/>
    <w:rsid w:val="5E562853"/>
    <w:rsid w:val="5FFC3909"/>
    <w:rsid w:val="60665537"/>
    <w:rsid w:val="60A21C0D"/>
    <w:rsid w:val="612D7D3F"/>
    <w:rsid w:val="61377E0E"/>
    <w:rsid w:val="61E561AB"/>
    <w:rsid w:val="62BF7E51"/>
    <w:rsid w:val="63D40E32"/>
    <w:rsid w:val="64044287"/>
    <w:rsid w:val="6822239C"/>
    <w:rsid w:val="68EF4BB6"/>
    <w:rsid w:val="693D602B"/>
    <w:rsid w:val="69AD29EB"/>
    <w:rsid w:val="6ACD7C6E"/>
    <w:rsid w:val="6B421B88"/>
    <w:rsid w:val="6B903E85"/>
    <w:rsid w:val="6C2B7FFF"/>
    <w:rsid w:val="6F854F2D"/>
    <w:rsid w:val="73CD77D5"/>
    <w:rsid w:val="740C5F0C"/>
    <w:rsid w:val="7553580B"/>
    <w:rsid w:val="77842462"/>
    <w:rsid w:val="77C23C51"/>
    <w:rsid w:val="78D82180"/>
    <w:rsid w:val="7993250E"/>
    <w:rsid w:val="79BE53CA"/>
    <w:rsid w:val="79E26883"/>
    <w:rsid w:val="7B037021"/>
    <w:rsid w:val="7B9906CE"/>
    <w:rsid w:val="7CFC6AAB"/>
    <w:rsid w:val="7D096528"/>
    <w:rsid w:val="7E79678D"/>
    <w:rsid w:val="7E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widowControl w:val="0"/>
      <w:tabs>
        <w:tab w:val="left" w:pos="0"/>
      </w:tabs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2"/>
    <w:basedOn w:val="1"/>
    <w:next w:val="1"/>
    <w:link w:val="20"/>
    <w:qFormat/>
    <w:uiPriority w:val="99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4">
    <w:name w:val="heading 3"/>
    <w:basedOn w:val="1"/>
    <w:next w:val="1"/>
    <w:link w:val="21"/>
    <w:qFormat/>
    <w:uiPriority w:val="99"/>
    <w:pPr>
      <w:widowControl w:val="0"/>
      <w:autoSpaceDE w:val="0"/>
      <w:outlineLvl w:val="2"/>
    </w:pPr>
    <w:rPr>
      <w:rFonts w:ascii="Times New Roman CYR" w:hAnsi="Times New Roman CYR" w:cs="Times New Roman CYR"/>
      <w:lang w:eastAsia="zh-CN"/>
    </w:rPr>
  </w:style>
  <w:style w:type="paragraph" w:styleId="5">
    <w:name w:val="heading 4"/>
    <w:basedOn w:val="1"/>
    <w:next w:val="1"/>
    <w:link w:val="22"/>
    <w:qFormat/>
    <w:uiPriority w:val="99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zh-CN"/>
    </w:rPr>
  </w:style>
  <w:style w:type="paragraph" w:styleId="6">
    <w:name w:val="heading 5"/>
    <w:basedOn w:val="1"/>
    <w:next w:val="1"/>
    <w:link w:val="23"/>
    <w:qFormat/>
    <w:uiPriority w:val="99"/>
    <w:pPr>
      <w:widowControl w:val="0"/>
      <w:autoSpaceDE w:val="0"/>
      <w:spacing w:before="240" w:after="60"/>
      <w:outlineLvl w:val="4"/>
    </w:pPr>
    <w:rPr>
      <w:rFonts w:ascii="Times New Roman CYR" w:hAnsi="Times New Roman CYR" w:cs="Times New Roman CYR"/>
      <w:b/>
      <w:bCs/>
      <w:i/>
      <w:iCs/>
      <w:sz w:val="26"/>
      <w:szCs w:val="26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link w:val="25"/>
    <w:semiHidden/>
    <w:unhideWhenUsed/>
    <w:qFormat/>
    <w:uiPriority w:val="99"/>
    <w:pPr>
      <w:widowControl w:val="0"/>
      <w:autoSpaceDE w:val="0"/>
      <w:spacing w:after="120"/>
    </w:pPr>
    <w:rPr>
      <w:rFonts w:ascii="Times New Roman CYR" w:hAnsi="Times New Roman CYR" w:cs="Times New Roman CYR"/>
      <w:lang w:eastAsia="zh-CN"/>
    </w:rPr>
  </w:style>
  <w:style w:type="paragraph" w:styleId="10">
    <w:name w:val="caption"/>
    <w:basedOn w:val="1"/>
    <w:qFormat/>
    <w:uiPriority w:val="0"/>
    <w:pPr>
      <w:widowControl w:val="0"/>
      <w:suppressLineNumbers/>
      <w:autoSpaceDE w:val="0"/>
      <w:spacing w:before="120" w:after="120"/>
    </w:pPr>
    <w:rPr>
      <w:rFonts w:ascii="Times New Roman CYR" w:hAnsi="Times New Roman CYR" w:cs="Mangal"/>
      <w:i/>
      <w:iCs/>
      <w:lang w:eastAsia="zh-CN"/>
    </w:rPr>
  </w:style>
  <w:style w:type="paragraph" w:styleId="11">
    <w:name w:val="Normal (Web)"/>
    <w:basedOn w:val="1"/>
    <w:semiHidden/>
    <w:unhideWhenUsed/>
    <w:qFormat/>
    <w:uiPriority w:val="99"/>
    <w:pPr>
      <w:widowControl w:val="0"/>
      <w:autoSpaceDE w:val="0"/>
    </w:pPr>
    <w:rPr>
      <w:lang w:eastAsia="zh-CN"/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Subtitle"/>
    <w:basedOn w:val="1"/>
    <w:next w:val="1"/>
    <w:link w:val="26"/>
    <w:qFormat/>
    <w:uiPriority w:val="99"/>
    <w:pPr>
      <w:widowControl w:val="0"/>
      <w:autoSpaceDE w:val="0"/>
      <w:spacing w:after="60"/>
      <w:jc w:val="center"/>
      <w:outlineLvl w:val="1"/>
    </w:pPr>
    <w:rPr>
      <w:rFonts w:ascii="Cambria" w:hAnsi="Cambria"/>
      <w:lang w:val="zh-CN" w:eastAsia="zh-CN"/>
    </w:rPr>
  </w:style>
  <w:style w:type="table" w:styleId="14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9"/>
    <w:link w:val="24"/>
    <w:qFormat/>
    <w:uiPriority w:val="0"/>
    <w:pPr>
      <w:jc w:val="center"/>
    </w:pPr>
    <w:rPr>
      <w:sz w:val="28"/>
      <w:szCs w:val="20"/>
      <w:lang w:val="uk-UA" w:eastAsia="zh-CN"/>
    </w:rPr>
  </w:style>
  <w:style w:type="paragraph" w:customStyle="1" w:styleId="16">
    <w:name w:val="Содержимое таблицы"/>
    <w:basedOn w:val="1"/>
    <w:qFormat/>
    <w:uiPriority w:val="0"/>
    <w:pPr>
      <w:suppressLineNumbers/>
      <w:spacing w:after="200" w:line="276" w:lineRule="auto"/>
    </w:pPr>
    <w:rPr>
      <w:rFonts w:ascii="Calibri" w:hAnsi="Calibri" w:cs="Calibri"/>
      <w:color w:val="000000"/>
      <w:sz w:val="22"/>
      <w:szCs w:val="22"/>
      <w:lang w:val="uk-UA"/>
    </w:rPr>
  </w:style>
  <w:style w:type="paragraph" w:customStyle="1" w:styleId="17">
    <w:name w:val="Заголовок таблицы"/>
    <w:basedOn w:val="16"/>
    <w:qFormat/>
    <w:uiPriority w:val="0"/>
  </w:style>
  <w:style w:type="character" w:customStyle="1" w:styleId="18">
    <w:name w:val="Ñèìâîë íóìåðàöèè"/>
    <w:qFormat/>
    <w:uiPriority w:val="0"/>
  </w:style>
  <w:style w:type="character" w:customStyle="1" w:styleId="19">
    <w:name w:val="Заголовок 1 Знак"/>
    <w:basedOn w:val="7"/>
    <w:link w:val="2"/>
    <w:qFormat/>
    <w:uiPriority w:val="0"/>
    <w:rPr>
      <w:rFonts w:ascii="Arial" w:hAnsi="Arial" w:cs="Arial"/>
      <w:b/>
      <w:bCs/>
      <w:kern w:val="1"/>
      <w:sz w:val="32"/>
      <w:szCs w:val="32"/>
      <w:lang w:val="ru-RU" w:eastAsia="zh-CN"/>
    </w:rPr>
  </w:style>
  <w:style w:type="character" w:customStyle="1" w:styleId="20">
    <w:name w:val="Заголовок 2 Знак"/>
    <w:basedOn w:val="7"/>
    <w:link w:val="3"/>
    <w:qFormat/>
    <w:uiPriority w:val="99"/>
    <w:rPr>
      <w:rFonts w:ascii="Cambria" w:hAnsi="Cambria"/>
      <w:b/>
      <w:bCs/>
      <w:i/>
      <w:iCs/>
      <w:sz w:val="28"/>
      <w:szCs w:val="28"/>
      <w:lang w:val="ru-RU" w:eastAsia="zh-CN"/>
    </w:rPr>
  </w:style>
  <w:style w:type="character" w:customStyle="1" w:styleId="21">
    <w:name w:val="Заголовок 3 Знак"/>
    <w:basedOn w:val="7"/>
    <w:link w:val="4"/>
    <w:qFormat/>
    <w:uiPriority w:val="99"/>
    <w:rPr>
      <w:rFonts w:ascii="Times New Roman CYR" w:hAnsi="Times New Roman CYR" w:cs="Times New Roman CYR"/>
      <w:sz w:val="24"/>
      <w:szCs w:val="24"/>
      <w:lang w:val="ru-RU" w:eastAsia="zh-CN"/>
    </w:rPr>
  </w:style>
  <w:style w:type="character" w:customStyle="1" w:styleId="22">
    <w:name w:val="Заголовок 4 Знак"/>
    <w:link w:val="5"/>
    <w:qFormat/>
    <w:uiPriority w:val="99"/>
    <w:rPr>
      <w:rFonts w:ascii="Calibri" w:hAnsi="Calibri"/>
      <w:b/>
      <w:bCs/>
      <w:sz w:val="28"/>
      <w:szCs w:val="28"/>
      <w:lang w:eastAsia="zh-CN"/>
    </w:rPr>
  </w:style>
  <w:style w:type="character" w:customStyle="1" w:styleId="23">
    <w:name w:val="Заголовок 5 Знак"/>
    <w:basedOn w:val="7"/>
    <w:link w:val="6"/>
    <w:qFormat/>
    <w:uiPriority w:val="99"/>
    <w:rPr>
      <w:rFonts w:ascii="Times New Roman CYR" w:hAnsi="Times New Roman CYR" w:cs="Times New Roman CYR"/>
      <w:b/>
      <w:bCs/>
      <w:i/>
      <w:iCs/>
      <w:sz w:val="26"/>
      <w:szCs w:val="26"/>
      <w:lang w:val="ru-RU" w:eastAsia="zh-CN"/>
    </w:rPr>
  </w:style>
  <w:style w:type="character" w:customStyle="1" w:styleId="24">
    <w:name w:val="Назва Знак"/>
    <w:basedOn w:val="7"/>
    <w:link w:val="15"/>
    <w:qFormat/>
    <w:uiPriority w:val="0"/>
    <w:rPr>
      <w:sz w:val="28"/>
      <w:lang w:eastAsia="zh-CN"/>
    </w:rPr>
  </w:style>
  <w:style w:type="character" w:customStyle="1" w:styleId="25">
    <w:name w:val="Основний текст Знак"/>
    <w:basedOn w:val="7"/>
    <w:link w:val="9"/>
    <w:semiHidden/>
    <w:qFormat/>
    <w:uiPriority w:val="99"/>
    <w:rPr>
      <w:rFonts w:ascii="Times New Roman CYR" w:hAnsi="Times New Roman CYR" w:cs="Times New Roman CYR"/>
      <w:sz w:val="24"/>
      <w:szCs w:val="24"/>
      <w:lang w:val="ru-RU" w:eastAsia="zh-CN"/>
    </w:rPr>
  </w:style>
  <w:style w:type="character" w:customStyle="1" w:styleId="26">
    <w:name w:val="Підзаголовок Знак"/>
    <w:link w:val="13"/>
    <w:qFormat/>
    <w:uiPriority w:val="99"/>
    <w:rPr>
      <w:rFonts w:ascii="Cambria" w:hAnsi="Cambria"/>
      <w:sz w:val="24"/>
      <w:szCs w:val="24"/>
      <w:lang w:val="zh-CN" w:eastAsia="zh-CN"/>
    </w:rPr>
  </w:style>
  <w:style w:type="paragraph" w:customStyle="1" w:styleId="27">
    <w:name w:val="Обычный (Web)"/>
    <w:basedOn w:val="1"/>
    <w:next w:val="11"/>
    <w:link w:val="28"/>
    <w:qFormat/>
    <w:uiPriority w:val="0"/>
    <w:pPr>
      <w:spacing w:before="280" w:after="280"/>
    </w:pPr>
    <w:rPr>
      <w:lang w:val="zh-CN" w:eastAsia="zh-CN"/>
    </w:rPr>
  </w:style>
  <w:style w:type="character" w:customStyle="1" w:styleId="28">
    <w:name w:val="Обычный (веб) Знак"/>
    <w:link w:val="27"/>
    <w:qFormat/>
    <w:locked/>
    <w:uiPriority w:val="0"/>
    <w:rPr>
      <w:sz w:val="24"/>
      <w:szCs w:val="24"/>
      <w:lang w:eastAsia="zh-CN"/>
    </w:rPr>
  </w:style>
  <w:style w:type="paragraph" w:styleId="29">
    <w:name w:val="No Spacing"/>
    <w:qFormat/>
    <w:uiPriority w:val="1"/>
    <w:pPr>
      <w:suppressAutoHyphens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paragraph" w:styleId="30">
    <w:name w:val="List Paragraph"/>
    <w:basedOn w:val="1"/>
    <w:qFormat/>
    <w:uiPriority w:val="34"/>
    <w:pPr>
      <w:suppressAutoHyphens w:val="0"/>
      <w:ind w:left="720"/>
      <w:contextualSpacing/>
    </w:pPr>
    <w:rPr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5510</Words>
  <Characters>3142</Characters>
  <Lines>26</Lines>
  <Paragraphs>17</Paragraphs>
  <TotalTime>5</TotalTime>
  <ScaleCrop>false</ScaleCrop>
  <LinksUpToDate>false</LinksUpToDate>
  <CharactersWithSpaces>8635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2022-07-07T14:34:00Z</dcterms:created>
  <dc:creator>dozhoda dozhoda</dc:creator>
  <cp:lastModifiedBy>PCB 40-1</cp:lastModifiedBy>
  <cp:lastPrinted>2025-01-09T13:17:00Z</cp:lastPrinted>
  <dcterms:modified xsi:type="dcterms:W3CDTF">2025-06-26T13:36:54Z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65EDA521F1BA4C1181BE7E01AC6811A3_12</vt:lpwstr>
  </property>
</Properties>
</file>